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194" w:rsidRDefault="00745194" w:rsidP="00745194">
      <w:pPr>
        <w:pStyle w:val="a3"/>
      </w:pPr>
      <w:proofErr w:type="gramStart"/>
      <w:r>
        <w:t>Идея о том, что символ принципиально метафоричен, является общим местом теорий символа (См. в об-</w:t>
      </w:r>
      <w:proofErr w:type="gramEnd"/>
    </w:p>
    <w:p w:rsidR="00745194" w:rsidRDefault="00745194" w:rsidP="00745194">
      <w:pPr>
        <w:pStyle w:val="a3"/>
      </w:pPr>
      <w:r>
        <w:t>зоре [9]). В основе сходства метафоры и символа исследователи видят образность, иносказательность, ин-</w:t>
      </w:r>
    </w:p>
    <w:p w:rsidR="00745194" w:rsidRDefault="00745194" w:rsidP="00745194">
      <w:pPr>
        <w:pStyle w:val="a3"/>
      </w:pPr>
      <w:proofErr w:type="spellStart"/>
      <w:r>
        <w:t>терпретационный</w:t>
      </w:r>
      <w:proofErr w:type="spellEnd"/>
      <w:r>
        <w:t xml:space="preserve"> характер, перенос значения [6], искусственное приведение к родству </w:t>
      </w:r>
      <w:proofErr w:type="gramStart"/>
      <w:r>
        <w:t>разнородных</w:t>
      </w:r>
      <w:proofErr w:type="gramEnd"/>
      <w:r>
        <w:t xml:space="preserve"> </w:t>
      </w:r>
      <w:proofErr w:type="spellStart"/>
      <w:r>
        <w:t>сущно</w:t>
      </w:r>
      <w:proofErr w:type="spellEnd"/>
      <w:r>
        <w:t>-</w:t>
      </w:r>
    </w:p>
    <w:p w:rsidR="00745194" w:rsidRDefault="00745194" w:rsidP="00745194">
      <w:pPr>
        <w:pStyle w:val="a3"/>
      </w:pPr>
      <w:proofErr w:type="spellStart"/>
      <w:r>
        <w:t>стей</w:t>
      </w:r>
      <w:proofErr w:type="spellEnd"/>
      <w:r>
        <w:t xml:space="preserve"> [4], </w:t>
      </w:r>
      <w:proofErr w:type="spellStart"/>
      <w:r>
        <w:t>несформированность</w:t>
      </w:r>
      <w:proofErr w:type="spellEnd"/>
      <w:r>
        <w:t xml:space="preserve"> значения, отсутствие </w:t>
      </w:r>
      <w:proofErr w:type="spellStart"/>
      <w:r>
        <w:t>иллокутивной</w:t>
      </w:r>
      <w:proofErr w:type="spellEnd"/>
      <w:r>
        <w:t xml:space="preserve"> силы [2]. Этот ряд можно продолжить:</w:t>
      </w:r>
    </w:p>
    <w:p w:rsidR="00745194" w:rsidRDefault="00745194" w:rsidP="00745194">
      <w:pPr>
        <w:pStyle w:val="a3"/>
      </w:pPr>
      <w:r>
        <w:t>метафора и символ, будучи основаны на феномене асимметрии языкового знака, компрессируют форму вы-</w:t>
      </w:r>
    </w:p>
    <w:p w:rsidR="00745194" w:rsidRDefault="00745194" w:rsidP="00745194">
      <w:pPr>
        <w:pStyle w:val="a3"/>
      </w:pPr>
      <w:proofErr w:type="spellStart"/>
      <w:r>
        <w:t>ражения</w:t>
      </w:r>
      <w:proofErr w:type="spellEnd"/>
      <w:r>
        <w:t xml:space="preserve"> информации, и эта компрессия позволяет видеть нечто новое, порождает новые смыслы. </w:t>
      </w:r>
      <w:proofErr w:type="spellStart"/>
      <w:r>
        <w:t>Действи</w:t>
      </w:r>
      <w:proofErr w:type="spellEnd"/>
      <w:r>
        <w:t>-</w:t>
      </w:r>
    </w:p>
    <w:p w:rsidR="00745194" w:rsidRDefault="00745194" w:rsidP="00745194">
      <w:pPr>
        <w:pStyle w:val="a3"/>
      </w:pPr>
      <w:proofErr w:type="spellStart"/>
      <w:r>
        <w:t>тельно</w:t>
      </w:r>
      <w:proofErr w:type="spellEnd"/>
      <w:r>
        <w:t xml:space="preserve">, если рассматривать метафору с </w:t>
      </w:r>
      <w:proofErr w:type="spellStart"/>
      <w:r>
        <w:t>субституциональных</w:t>
      </w:r>
      <w:proofErr w:type="spellEnd"/>
      <w:r>
        <w:t xml:space="preserve"> позиций [3], и метафора, и символ позволяют</w:t>
      </w:r>
    </w:p>
    <w:p w:rsidR="00745194" w:rsidRDefault="00745194" w:rsidP="00745194">
      <w:pPr>
        <w:pStyle w:val="a3"/>
      </w:pPr>
      <w:r>
        <w:t xml:space="preserve">назвать одним словом то, что невозможно сказать множеством слов. Если рассматривать метафору с </w:t>
      </w:r>
      <w:proofErr w:type="spellStart"/>
      <w:r>
        <w:t>инте</w:t>
      </w:r>
      <w:proofErr w:type="spellEnd"/>
      <w:r>
        <w:t>-</w:t>
      </w:r>
    </w:p>
    <w:p w:rsidR="00745194" w:rsidRDefault="00745194" w:rsidP="00745194">
      <w:pPr>
        <w:pStyle w:val="a3"/>
      </w:pPr>
      <w:proofErr w:type="spellStart"/>
      <w:r>
        <w:t>ракционистских</w:t>
      </w:r>
      <w:proofErr w:type="spellEnd"/>
      <w:r>
        <w:t xml:space="preserve"> позиций [Там же], и метафора, и символ приводят к приращению смысла.</w:t>
      </w:r>
    </w:p>
    <w:p w:rsidR="00745194" w:rsidRDefault="00745194" w:rsidP="00745194">
      <w:pPr>
        <w:pStyle w:val="a3"/>
      </w:pPr>
      <w:r>
        <w:t>Но есть и принципиальные отличия, не связанные с историческими и родовидовыми отношениями. Часть</w:t>
      </w:r>
    </w:p>
    <w:p w:rsidR="00745194" w:rsidRDefault="00745194" w:rsidP="00745194">
      <w:pPr>
        <w:pStyle w:val="a3"/>
      </w:pPr>
      <w:r>
        <w:t xml:space="preserve">этих отличий отмечена Н. Д. Арутюновой [2], А. Ф. Лосевым [5, с. 126-127], Е. В. </w:t>
      </w:r>
      <w:proofErr w:type="spellStart"/>
      <w:r>
        <w:t>Шелестюк</w:t>
      </w:r>
      <w:proofErr w:type="spellEnd"/>
      <w:r>
        <w:t xml:space="preserve"> [10]. Основное</w:t>
      </w:r>
    </w:p>
    <w:p w:rsidR="00745194" w:rsidRDefault="00745194" w:rsidP="00745194">
      <w:pPr>
        <w:pStyle w:val="a3"/>
      </w:pPr>
      <w:r>
        <w:t>отличие, определяющее все частные, состоит в различии сущности этих явлений: 1) метафора – э</w:t>
      </w:r>
      <w:bookmarkStart w:id="0" w:name="_GoBack"/>
      <w:bookmarkEnd w:id="0"/>
      <w:r>
        <w:t>то троп,</w:t>
      </w:r>
    </w:p>
    <w:p w:rsidR="00745194" w:rsidRDefault="00745194" w:rsidP="00745194">
      <w:pPr>
        <w:pStyle w:val="a3"/>
      </w:pPr>
      <w:r>
        <w:t>фигура речи; 2) символ – это языковой знак. Анализ специфики функционирования метафоры и символа,</w:t>
      </w:r>
    </w:p>
    <w:p w:rsidR="00745194" w:rsidRDefault="00745194" w:rsidP="00745194">
      <w:pPr>
        <w:pStyle w:val="a3"/>
      </w:pPr>
      <w:r>
        <w:t>как знака особого рода, обозначающего концепт в культурологическом смысле этого слова [1], позволяет</w:t>
      </w:r>
    </w:p>
    <w:p w:rsidR="00745194" w:rsidRDefault="00745194" w:rsidP="00745194">
      <w:pPr>
        <w:pStyle w:val="a3"/>
      </w:pPr>
      <w:r>
        <w:t>отметить следующие отличия функционального плана.</w:t>
      </w:r>
    </w:p>
    <w:p w:rsidR="006441E5" w:rsidRDefault="006441E5"/>
    <w:sectPr w:rsidR="006441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8D0"/>
    <w:rsid w:val="006441E5"/>
    <w:rsid w:val="006768D0"/>
    <w:rsid w:val="0074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7451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7451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215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learner</dc:creator>
  <cp:keywords/>
  <dc:description/>
  <cp:lastModifiedBy>learner</cp:lastModifiedBy>
  <cp:revision>2</cp:revision>
  <dcterms:created xsi:type="dcterms:W3CDTF">2015-03-22T10:20:00Z</dcterms:created>
  <dcterms:modified xsi:type="dcterms:W3CDTF">2015-03-22T10:21:00Z</dcterms:modified>
</cp:coreProperties>
</file>